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bookmarkStart w:id="0" w:name="_GoBack"/>
      <w:r>
        <w:rPr>
          <w:rFonts w:hint="eastAsia" w:ascii="仿宋_GB2312" w:hAnsi="仿宋_GB2312" w:eastAsia="仿宋_GB2312" w:cs="仿宋_GB2312"/>
          <w:sz w:val="32"/>
          <w:szCs w:val="32"/>
        </w:rPr>
        <w:t>文物设施及其他类检查单</w:t>
      </w:r>
      <w:bookmarkEnd w:id="0"/>
      <w:r>
        <w:rPr>
          <w:rFonts w:hint="eastAsia" w:ascii="仿宋_GB2312" w:hAnsi="仿宋_GB2312" w:eastAsia="仿宋_GB2312" w:cs="仿宋_GB2312"/>
          <w:sz w:val="32"/>
          <w:szCs w:val="32"/>
        </w:rPr>
        <w:t>》</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文物设施及其他情况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是否存在未按照规定移交拣选文物的行为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是否存在未按照规定移交拣选文物的行为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val="en-US" w:eastAsia="zh-CN"/>
        </w:rPr>
        <w:t>银行、冶炼厂、造纸厂以及废旧物资回收单位，与当地文物行政部门共同负责拣选掺杂在金银器和废旧物资中的文物。拣选文物除供银行研究所必需的历史货币可以由人民银行留用外，已移交当地文物行政部门。</w:t>
      </w:r>
    </w:p>
    <w:p>
      <w:pPr>
        <w:ind w:firstLine="643" w:firstLineChars="200"/>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val="en-US" w:eastAsia="zh-CN"/>
        </w:rPr>
        <w:t>银行、冶炼厂、造纸厂以及废旧物资回收单位，未与当地文物行政部门共同负责拣选掺杂在金银器和废旧物资中的文物。拣选文物除供银行研究所必需的历史货币可以由人民银行留用外，未移交当地文物行政部门。</w:t>
      </w:r>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3E2B1E"/>
    <w:rsid w:val="08E830E6"/>
    <w:rsid w:val="32472A23"/>
    <w:rsid w:val="3B2D0502"/>
    <w:rsid w:val="3C3E2B1E"/>
    <w:rsid w:val="656C5F4B"/>
    <w:rsid w:val="6B0E72F9"/>
    <w:rsid w:val="782A66B1"/>
    <w:rsid w:val="7FF40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2021-09-09T08:46:00Z</dcterms:created>
  <dc:creator>侯东岳</dc:creator>
  <cp:lastModifiedBy>侯东岳</cp:lastModifiedBy>
  <dcterms:modified xsi:type="dcterms:W3CDTF">2021-09-09T08:50:48Z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63EECF137E674859AEE2F0374B4CC723</vt:lpwstr>
  </property>
</Properties>
</file>